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default" w:ascii="宋体" w:eastAsia="微软雅黑"/>
          <w:b/>
          <w:sz w:val="53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26670</wp:posOffset>
            </wp:positionV>
            <wp:extent cx="2980690" cy="2444115"/>
            <wp:effectExtent l="0" t="0" r="0" b="0"/>
            <wp:wrapSquare wrapText="bothSides"/>
            <wp:docPr id="3" name="图片 3" descr="微信图片_20180711144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71114424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24"/>
          <w:lang w:val="en-US" w:eastAsia="zh-CN"/>
        </w:rPr>
        <w:t>DSN</w:t>
      </w:r>
      <w:r>
        <w:rPr>
          <w:rFonts w:hint="eastAsia" w:ascii="宋体"/>
          <w:b/>
          <w:sz w:val="36"/>
        </w:rPr>
        <w:t>-</w:t>
      </w:r>
      <w:r>
        <w:rPr>
          <w:rFonts w:hint="eastAsia" w:ascii="宋体"/>
          <w:b/>
          <w:sz w:val="36"/>
          <w:lang w:val="en-US" w:eastAsia="zh-CN"/>
        </w:rPr>
        <w:t>IPKB908MF-A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AI智能变光灯板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eastAsia="zh-CN"/>
        </w:rPr>
        <w:t>芯片</w:t>
      </w:r>
      <w:r>
        <w:rPr>
          <w:rFonts w:hint="eastAsia" w:ascii="宋体" w:hAnsi="宋体"/>
          <w:sz w:val="24"/>
        </w:rPr>
        <w:t>+SONY</w:t>
      </w:r>
      <w:r>
        <w:rPr>
          <w:rFonts w:hint="eastAsia" w:ascii="宋体" w:hAnsi="宋体"/>
          <w:sz w:val="24"/>
          <w:lang w:eastAsia="zh-CN"/>
        </w:rPr>
        <w:t>传感器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宇瞳</w:t>
      </w:r>
      <w:r>
        <w:rPr>
          <w:rFonts w:hint="eastAsia" w:ascii="宋体" w:hAnsi="宋体"/>
          <w:sz w:val="24"/>
          <w:lang w:val="en-US" w:eastAsia="zh-CN"/>
        </w:rPr>
        <w:t>F1.4</w:t>
      </w:r>
      <w:r>
        <w:rPr>
          <w:rFonts w:hint="eastAsia" w:ascii="宋体" w:hAnsi="宋体"/>
          <w:sz w:val="24"/>
        </w:rPr>
        <w:t>星光</w:t>
      </w:r>
      <w:r>
        <w:rPr>
          <w:rFonts w:hint="eastAsia" w:ascii="宋体" w:hAnsi="宋体"/>
          <w:sz w:val="24"/>
          <w:lang w:eastAsia="zh-CN"/>
        </w:rPr>
        <w:t>级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+分体式</w:t>
      </w:r>
      <w:r>
        <w:rPr>
          <w:rFonts w:hint="eastAsia" w:ascii="宋体" w:hAnsi="宋体"/>
          <w:sz w:val="24"/>
        </w:rPr>
        <w:t>高效导热铝合金外壳</w:t>
      </w:r>
      <w:r>
        <w:rPr>
          <w:rFonts w:hint="eastAsia" w:ascii="宋体" w:hAnsi="宋体"/>
          <w:sz w:val="24"/>
          <w:lang w:val="en-US" w:eastAsia="zh-CN"/>
        </w:rPr>
        <w:t>+高清音质</w:t>
      </w:r>
      <w:r>
        <w:rPr>
          <w:rFonts w:hint="eastAsia" w:ascii="宋体" w:hAnsi="宋体"/>
          <w:sz w:val="24"/>
        </w:rPr>
        <w:t>内置咪头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蓝玻滤光片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性能特点：BMW夜视快速人脸防爆→AI智能同步变光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灯板亮度根据环境智能调节→分体设计高效导热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无光衰→内置音频录制声音更安全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eastAsia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DSN-IPKB908MF-A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H3516EV200+IMX307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8MM、12MM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Kbps-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bookmarkStart w:id="0" w:name="_GoBack" w:colFirst="1" w:colLast="2"/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416660A"/>
    <w:rsid w:val="18685E39"/>
    <w:rsid w:val="1C9A6898"/>
    <w:rsid w:val="2A830BE8"/>
    <w:rsid w:val="35291029"/>
    <w:rsid w:val="36816C9A"/>
    <w:rsid w:val="45880A3E"/>
    <w:rsid w:val="4CF72AE9"/>
    <w:rsid w:val="52E05334"/>
    <w:rsid w:val="5DD63DAB"/>
    <w:rsid w:val="604A33BB"/>
    <w:rsid w:val="63D04F18"/>
    <w:rsid w:val="7F394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2019-09-30T01:27:02Z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