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/>
          <w:b/>
          <w:bCs w:val="0"/>
          <w:sz w:val="32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125095</wp:posOffset>
            </wp:positionV>
            <wp:extent cx="3403600" cy="2271395"/>
            <wp:effectExtent l="0" t="0" r="10160" b="14605"/>
            <wp:wrapSquare wrapText="bothSides"/>
            <wp:docPr id="5" name="图片 5" descr="905M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5Mf-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 w:val="0"/>
          <w:sz w:val="32"/>
          <w:szCs w:val="24"/>
          <w:lang w:val="en-US" w:eastAsia="zh-CN"/>
        </w:rPr>
        <w:t>DSN</w:t>
      </w:r>
      <w:r>
        <w:rPr>
          <w:rFonts w:hint="eastAsia" w:ascii="宋体"/>
          <w:b/>
          <w:bCs w:val="0"/>
          <w:sz w:val="36"/>
        </w:rPr>
        <w:t>-</w:t>
      </w:r>
      <w:r>
        <w:rPr>
          <w:rFonts w:hint="eastAsia" w:ascii="宋体"/>
          <w:b/>
          <w:bCs w:val="0"/>
          <w:sz w:val="36"/>
          <w:lang w:val="en-US" w:eastAsia="zh-CN"/>
        </w:rPr>
        <w:t>IPKB905MD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+索尼5MP传感器+五百万F1.0黑光级镜头+蓝玻璃滤光片+高清音质</w:t>
      </w:r>
      <w:r>
        <w:rPr>
          <w:rFonts w:hint="eastAsia" w:ascii="宋体" w:hAnsi="宋体"/>
          <w:sz w:val="24"/>
        </w:rPr>
        <w:t>咪头</w:t>
      </w:r>
      <w:r>
        <w:rPr>
          <w:rFonts w:hint="eastAsia" w:ascii="宋体" w:hAnsi="宋体"/>
          <w:sz w:val="24"/>
          <w:lang w:val="en-US" w:eastAsia="zh-CN"/>
        </w:rPr>
        <w:t>+分体式高效导热铝合金主体+AI智能变光灯板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→五百万超清预览夜视更清晰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DSN-IPKB905MD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H3516EV300+SONY-5MP（IMX335）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left="0" w:leftChars="0" w:right="0" w:rightChars="0" w:firstLine="630" w:firstLineChars="3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500万最大15帧，400万最大15帧，300万及以下最大30帧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1.0黑光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1944, 2592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1520，2560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1440,2048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1AF97E54"/>
    <w:rsid w:val="2A830BE8"/>
    <w:rsid w:val="36816C9A"/>
    <w:rsid w:val="45880A3E"/>
    <w:rsid w:val="45EE7C26"/>
    <w:rsid w:val="491A3EEA"/>
    <w:rsid w:val="4BB37545"/>
    <w:rsid w:val="4CF72AE9"/>
    <w:rsid w:val="52E05334"/>
    <w:rsid w:val="55E21E9F"/>
    <w:rsid w:val="5DD63DAB"/>
    <w:rsid w:val="604A33BB"/>
    <w:rsid w:val="60E919B3"/>
    <w:rsid w:val="63D04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2019-10-09T12:56:37Z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